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720" w:before="0"/>
      </w:pPr>
      <w:r>
        <w:t xml:space="preserve"/>
      </w:r>
    </w:p>
    <w:p>
      <w:pPr>
        <w:jc w:val="center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64"/>
          <w:szCs w:val="64"/>
        </w:rPr>
        <w:t xml:space="preserve">GEO</w:t>
      </w:r>
    </w:p>
    <w:p>
      <w:pPr>
        <w:jc w:val="center"/>
      </w:pPr>
      <w:r>
        <w:rPr>
          <w:rFonts w:ascii="Bricolage Grotesque" w:cs="Bricolage Grotesque" w:eastAsia="Bricolage Grotesque" w:hAnsi="Bricolage Grotesque"/>
          <w:b/>
          <w:bCs/>
          <w:i/>
          <w:iCs/>
          <w:color w:val="6E4C40"/>
          <w:sz w:val="64"/>
          <w:szCs w:val="64"/>
        </w:rPr>
        <w:t xml:space="preserve">Intelligence</w:t>
      </w:r>
    </w:p>
    <w:p>
      <w:pPr>
        <w:spacing w:after="200" w:before="0"/>
        <w:jc w:val="center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64"/>
          <w:szCs w:val="64"/>
        </w:rPr>
        <w:t xml:space="preserve">Report</w:t>
      </w:r>
    </w:p>
    <w:p>
      <w:pPr>
        <w:spacing w:after="400" w:before="0"/>
        <w:jc w:val="center"/>
      </w:pPr>
      <w:r>
        <w:rPr>
          <w:rFonts w:ascii="Source Sans 3" w:cs="Source Sans 3" w:eastAsia="Source Sans 3" w:hAnsi="Source Sans 3"/>
          <w:b w:val="false"/>
          <w:bCs w:val="false"/>
          <w:i w:val="false"/>
          <w:iCs w:val="false"/>
          <w:color w:val="6B7280"/>
          <w:sz w:val="15"/>
          <w:szCs w:val="15"/>
        </w:rPr>
        <w:t xml:space="preserve">AI VISIBILITY  |  TRAFFIC INTELLIGENCE  |  ACTION PLAN</w:t>
      </w:r>
    </w:p>
    <w:p>
      <w:pPr>
        <w:pBdr>
          <w:bottom w:val="single" w:color="E8D5CB" w:sz="4"/>
        </w:pBdr>
        <w:spacing w:after="240" w:before="0"/>
      </w:pPr>
      <w:r>
        <w:t xml:space="preserve"/>
      </w:r>
    </w:p>
    <w:p>
      <w:pPr>
        <w:spacing w:after="80" w:before="0"/>
        <w:jc w:val="center"/>
      </w:pPr>
      <w:r>
        <w:rPr>
          <w:rFonts w:ascii="Source Sans 3" w:cs="Source Sans 3" w:eastAsia="Source Sans 3" w:hAnsi="Source Sans 3"/>
          <w:b w:val="false"/>
          <w:bCs w:val="false"/>
          <w:i w:val="false"/>
          <w:iCs w:val="false"/>
          <w:color w:val="6B7280"/>
          <w:sz w:val="13"/>
          <w:szCs w:val="13"/>
        </w:rPr>
        <w:t xml:space="preserve">TARGET WEBSITE</w:t>
      </w:r>
    </w:p>
    <w:p>
      <w:pPr>
        <w:spacing w:after="360" w:before="0"/>
        <w:jc w:val="center"/>
      </w:pPr>
      <w:r>
        <w:rPr>
          <w:rFonts w:ascii="Courier New" w:cs="Courier New" w:eastAsia="Courier New" w:hAnsi="Courier New"/>
          <w:b/>
          <w:bCs/>
          <w:i w:val="false"/>
          <w:iCs w:val="false"/>
          <w:color w:val="6E4C40"/>
          <w:sz w:val="20"/>
          <w:szCs w:val="20"/>
        </w:rPr>
        <w:t xml:space="preserve">http://www.cimcon.com - GA4</w:t>
      </w:r>
    </w:p>
    <w:tbl>
      <w:tblPr>
        <w:tblW w:type="dxa" w:w="5000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</w:tblGrid>
      <w:tr>
        <w:tc>
          <w:tcPr>
            <w:tcW w:type="dxa" w:w="2500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DEEE6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spacing w:after="80" w:before="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3"/>
                <w:szCs w:val="13"/>
              </w:rPr>
              <w:t xml:space="preserve">GEO SCORE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84004"/>
                <w:sz w:val="56"/>
                <w:szCs w:val="56"/>
              </w:rPr>
              <w:t xml:space="preserve">51</w:t>
            </w:r>
          </w:p>
          <w:p>
            <w:pPr>
              <w:spacing w:after="0" w:before="4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2"/>
                <w:szCs w:val="12"/>
              </w:rPr>
              <w:t xml:space="preserve">out of 100</w:t>
            </w:r>
          </w:p>
        </w:tc>
        <w:tc>
          <w:tcPr>
            <w:tcW w:type="dxa" w:w="2500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DEEE6" w:val="clear"/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spacing w:after="80" w:before="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3"/>
                <w:szCs w:val="13"/>
              </w:rPr>
              <w:t xml:space="preserve">STATUS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84004"/>
                <w:sz w:val="36"/>
                <w:szCs w:val="36"/>
              </w:rPr>
              <w:t xml:space="preserve">WARNING</w:t>
            </w:r>
          </w:p>
          <w:p>
            <w:pPr>
              <w:spacing w:after="0" w:before="4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2"/>
                <w:szCs w:val="12"/>
              </w:rPr>
              <w:t xml:space="preserve">AI readiness</w:t>
            </w:r>
          </w:p>
        </w:tc>
      </w:tr>
    </w:tbl>
    <w:p>
      <w:pPr>
        <w:spacing w:after="240" w:before="0"/>
      </w:pPr>
      <w:r>
        <w:t xml:space="preserv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11"/>
        <w:gridCol w:w="2511"/>
        <w:gridCol w:w="2511"/>
        <w:gridCol w:w="2511"/>
      </w:tblGrid>
      <w:tr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5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1"/>
                <w:szCs w:val="11"/>
              </w:rPr>
              <w:t xml:space="preserve">SESSIONS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84004"/>
                <w:sz w:val="28"/>
                <w:szCs w:val="28"/>
              </w:rPr>
              <w:t xml:space="preserve">2548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5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1"/>
                <w:szCs w:val="11"/>
              </w:rPr>
              <w:t xml:space="preserve">USERS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84004"/>
                <w:sz w:val="28"/>
                <w:szCs w:val="28"/>
              </w:rPr>
              <w:t xml:space="preserve">2270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5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1"/>
                <w:szCs w:val="11"/>
              </w:rPr>
              <w:t xml:space="preserve">BOUNCE RATE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84004"/>
                <w:sz w:val="28"/>
                <w:szCs w:val="28"/>
              </w:rPr>
              <w:t xml:space="preserve">73%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5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1"/>
                <w:szCs w:val="11"/>
              </w:rPr>
              <w:t xml:space="preserve">AVG DURATION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84004"/>
                <w:sz w:val="28"/>
                <w:szCs w:val="28"/>
              </w:rPr>
              <w:t xml:space="preserve">122.4s</w:t>
            </w:r>
          </w:p>
        </w:tc>
      </w:tr>
    </w:tbl>
    <w:p>
      <w:pPr>
        <w:spacing w:after="240" w:before="0"/>
      </w:pPr>
      <w:r>
        <w:t xml:space="preserv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48"/>
        <w:gridCol w:w="3348"/>
        <w:gridCol w:w="3348"/>
      </w:tblGrid>
      <w:tr>
        <w:tc>
          <w:tcPr>
            <w:tcW w:type="dxa" w:w="3348"/>
            <w:tcBorders>
              <w:top w:val="single" w:color="E8D5CB" w:sz="4"/>
              <w:left w:val="single" w:color="E8D5CB" w:sz="4"/>
              <w:bottom w:val="single" w:color="E8D5CB" w:sz="4"/>
              <w:right w:val="none" w:color="FFFFFF" w:sz="0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9CA3AF"/>
                <w:sz w:val="13"/>
                <w:szCs w:val="13"/>
              </w:rPr>
              <w:t xml:space="preserve">DATE RANGE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8"/>
                <w:szCs w:val="18"/>
              </w:rPr>
              <w:t xml:space="preserve">2026-02-24 → 2026-03-25</w:t>
            </w:r>
          </w:p>
        </w:tc>
        <w:tc>
          <w:tcPr>
            <w:tcW w:type="dxa" w:w="3348"/>
            <w:tcBorders>
              <w:top w:val="single" w:color="E8D5CB" w:sz="4"/>
              <w:left w:val="single" w:color="E8D5CB" w:sz="4"/>
              <w:bottom w:val="single" w:color="E8D5CB" w:sz="4"/>
              <w:right w:val="none" w:color="FFFFFF" w:sz="0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9CA3AF"/>
                <w:sz w:val="13"/>
                <w:szCs w:val="13"/>
              </w:rPr>
              <w:t xml:space="preserve">ANALYSIS DATE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8"/>
                <w:szCs w:val="18"/>
              </w:rPr>
              <w:t xml:space="preserve">March 26, 2026 at 21:02</w:t>
            </w:r>
          </w:p>
        </w:tc>
        <w:tc>
          <w:tcPr>
            <w:tcW w:type="dxa" w:w="3348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9CA3AF"/>
                <w:sz w:val="13"/>
                <w:szCs w:val="13"/>
              </w:rPr>
              <w:t xml:space="preserve">REPORT TYPE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8"/>
                <w:szCs w:val="18"/>
              </w:rPr>
              <w:t xml:space="preserve">GEO Intelligence</w:t>
            </w:r>
          </w:p>
        </w:tc>
      </w:tr>
    </w:tbl>
    <w:p>
      <w:r>
        <w:br w:type="pag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D84004" w:sz="24"/>
              <w:bottom w:val="single" w:color="E8D5CB" w:sz="4"/>
              <w:right w:val="single" w:color="E8D5CB" w:sz="4"/>
            </w:tcBorders>
            <w:shd w:fill="FDEEE6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1E293B"/>
                <w:sz w:val="26"/>
                <w:szCs w:val="26"/>
              </w:rPr>
              <w:t xml:space="preserve">GEO Intelligence Analysis</w:t>
            </w:r>
          </w:p>
        </w:tc>
      </w:tr>
    </w:tbl>
    <w:p>
      <w:pPr>
        <w:spacing w:after="120" w:before="0"/>
      </w:pPr>
      <w:r>
        <w:t xml:space="preserv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84004"/>
                <w:sz w:val="56"/>
                <w:szCs w:val="56"/>
              </w:rPr>
              <w:t xml:space="preserve">51</w:t>
            </w: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D84004"/>
                <w:sz w:val="16"/>
                <w:szCs w:val="16"/>
              </w:rPr>
              <w:t xml:space="preserve">  WARNING</w:t>
            </w:r>
          </w:p>
          <w:p>
            <w:pPr>
              <w:spacing w:after="40" w:before="0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30"/>
                <w:szCs w:val="30"/>
              </w:rPr>
              <w:t xml:space="preserve">High traffic reach, near-zero AI presence</w:t>
            </w:r>
          </w:p>
          <w:p>
            <w:pPr>
              <w:spacing w:after="0" w:before="0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E4C40"/>
                <w:sz w:val="18"/>
                <w:szCs w:val="18"/>
              </w:rPr>
              <w:t xml:space="preserve">Only 8 AI-referred sessions out of 2548 total — AI engines do not cite this site.</w:t>
            </w:r>
          </w:p>
        </w:tc>
      </w:tr>
    </w:tbl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11"/>
        <w:gridCol w:w="2511"/>
        <w:gridCol w:w="2511"/>
        <w:gridCol w:w="2511"/>
      </w:tblGrid>
      <w:tr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1"/>
                <w:szCs w:val="11"/>
              </w:rPr>
              <w:t xml:space="preserve">AI VISIBILITY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22"/>
                <w:szCs w:val="22"/>
              </w:rPr>
              <w:t xml:space="preserve">4</w:t>
            </w: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4"/>
                <w:szCs w:val="14"/>
              </w:rPr>
              <w:t xml:space="preserve">/30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1"/>
                <w:szCs w:val="11"/>
              </w:rPr>
              <w:t xml:space="preserve">CONTENT QUALITY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22"/>
                <w:szCs w:val="22"/>
              </w:rPr>
              <w:t xml:space="preserve">12</w:t>
            </w: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4"/>
                <w:szCs w:val="14"/>
              </w:rPr>
              <w:t xml:space="preserve">/25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1"/>
                <w:szCs w:val="11"/>
              </w:rPr>
              <w:t xml:space="preserve">DISCOVERABILITY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22"/>
                <w:szCs w:val="22"/>
              </w:rPr>
              <w:t xml:space="preserve">18</w:t>
            </w: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4"/>
                <w:szCs w:val="14"/>
              </w:rPr>
              <w:t xml:space="preserve">/25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1"/>
                <w:szCs w:val="11"/>
              </w:rPr>
              <w:t xml:space="preserve">REACH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22"/>
                <w:szCs w:val="22"/>
              </w:rPr>
              <w:t xml:space="preserve">17</w:t>
            </w: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4"/>
                <w:szCs w:val="14"/>
              </w:rPr>
              <w:t xml:space="preserve">/20</w:t>
            </w:r>
          </w:p>
        </w:tc>
      </w:tr>
    </w:tbl>
    <w:p>
      <w:pPr>
        <w:spacing w:after="120" w:before="0"/>
      </w:pPr>
      <w:r>
        <w:t xml:space="preserv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D84004" w:sz="20"/>
              <w:bottom w:val="single" w:color="E8D5CB" w:sz="4"/>
              <w:right w:val="single" w:color="E8D5CB" w:sz="4"/>
            </w:tcBorders>
            <w:shd w:fill="FFF8F5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374151"/>
                <w:sz w:val="17"/>
                <w:szCs w:val="17"/>
              </w:rPr>
              <w:t xml:space="preserve">Cimcon attracts 2,548 sessions across four continents but captures only 0.31% from AI search channels, leaving a structured fintech audience invisible to ChatGPT, Perplexity, and peers. As AI-driven discovery displaces traditional search, this gap will compound — competitors who optimize now will own the citations Cimcon cannot recover later.</w:t>
            </w:r>
          </w:p>
        </w:tc>
      </w:tr>
    </w:tbl>
    <w:p>
      <w:pPr>
        <w:spacing w:after="120" w:before="0"/>
      </w:pPr>
      <w:r>
        <w:t xml:space="preserv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D84004" w:sz="6"/>
              <w:left w:val="single" w:color="D84004" w:sz="6"/>
              <w:bottom w:val="single" w:color="D84004" w:sz="6"/>
              <w:right w:val="single" w:color="D84004" w:sz="6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pPr>
              <w:spacing w:after="80" w:before="0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84004"/>
                <w:sz w:val="12"/>
                <w:szCs w:val="12"/>
              </w:rPr>
              <w:t xml:space="preserve">HIDDEN PATTERN DETECTED</w:t>
            </w:r>
          </w:p>
          <w:p>
            <w:pPr>
              <w:spacing w:after="60" w:before="0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20"/>
                <w:szCs w:val="20"/>
              </w:rPr>
              <w:t xml:space="preserve">The SR 11-7 page draws 120 views yet bounces at 79.3% in 26.0s — visitors arrive and immediately leave.</w:t>
            </w:r>
          </w:p>
          <w:p>
            <w:pPr>
              <w:spacing w:after="0" w:before="0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E4C40"/>
                <w:sz w:val="17"/>
                <w:szCs w:val="17"/>
              </w:rPr>
              <w:t xml:space="preserve">The highest-intent regulatory topic on the site fails to hold readers, signaling content depth is too shallow for AI citation eligibility.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8D5CB" w:sz="4"/>
        </w:pBdr>
        <w:spacing w:after="100" w:before="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Vital Signs</w:t>
      </w:r>
    </w:p>
    <w:tbl>
      <w:tblPr>
        <w:tblW w:type="dxa" w:w="1004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10"/>
        <w:gridCol w:w="1808"/>
        <w:gridCol w:w="1506"/>
        <w:gridCol w:w="4520"/>
      </w:tblGrid>
      <w:tr>
        <w:tc>
          <w:tcPr>
            <w:tcW w:type="dxa" w:w="2210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Metric</w:t>
            </w:r>
          </w:p>
        </w:tc>
        <w:tc>
          <w:tcPr>
            <w:tcW w:type="dxa" w:w="1808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Value</w:t>
            </w:r>
          </w:p>
        </w:tc>
        <w:tc>
          <w:tcPr>
            <w:tcW w:type="dxa" w:w="1506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Status</w:t>
            </w:r>
          </w:p>
        </w:tc>
        <w:tc>
          <w:tcPr>
            <w:tcW w:type="dxa" w:w="4520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Context</w:t>
            </w:r>
          </w:p>
        </w:tc>
      </w:tr>
      <w:tr>
        <w:tc>
          <w:tcPr>
            <w:tcW w:type="dxa" w:w="22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Sessions</w:t>
            </w:r>
          </w:p>
        </w:tc>
        <w:tc>
          <w:tcPr>
            <w:tcW w:type="dxa" w:w="1808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2548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good</w:t>
            </w:r>
          </w:p>
        </w:tc>
        <w:tc>
          <w:tcPr>
            <w:tcW w:type="dxa" w:w="452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Healthy volume across 30-day window</w:t>
            </w:r>
          </w:p>
        </w:tc>
      </w:tr>
      <w:tr>
        <w:tc>
          <w:tcPr>
            <w:tcW w:type="dxa" w:w="22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Users</w:t>
            </w:r>
          </w:p>
        </w:tc>
        <w:tc>
          <w:tcPr>
            <w:tcW w:type="dxa" w:w="1808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2270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good</w:t>
            </w:r>
          </w:p>
        </w:tc>
        <w:tc>
          <w:tcPr>
            <w:tcW w:type="dxa" w:w="452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2191 new (96.5% new)</w:t>
            </w:r>
          </w:p>
        </w:tc>
      </w:tr>
      <w:tr>
        <w:tc>
          <w:tcPr>
            <w:tcW w:type="dxa" w:w="22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Bounce Rate</w:t>
            </w:r>
          </w:p>
        </w:tc>
        <w:tc>
          <w:tcPr>
            <w:tcW w:type="dxa" w:w="1808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73.0%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critical</w:t>
            </w:r>
          </w:p>
        </w:tc>
        <w:tc>
          <w:tcPr>
            <w:tcW w:type="dxa" w:w="452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13 points above 60% threshold</w:t>
            </w:r>
          </w:p>
        </w:tc>
      </w:tr>
      <w:tr>
        <w:tc>
          <w:tcPr>
            <w:tcW w:type="dxa" w:w="22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Avg Duration</w:t>
            </w:r>
          </w:p>
        </w:tc>
        <w:tc>
          <w:tcPr>
            <w:tcW w:type="dxa" w:w="1808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122.4s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good</w:t>
            </w:r>
          </w:p>
        </w:tc>
        <w:tc>
          <w:tcPr>
            <w:tcW w:type="dxa" w:w="452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Well above 40s threshold</w:t>
            </w:r>
          </w:p>
        </w:tc>
      </w:tr>
      <w:tr>
        <w:tc>
          <w:tcPr>
            <w:tcW w:type="dxa" w:w="2210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AI Visibility</w:t>
            </w:r>
          </w:p>
        </w:tc>
        <w:tc>
          <w:tcPr>
            <w:tcW w:type="dxa" w:w="1808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0.31%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critical</w:t>
            </w:r>
          </w:p>
        </w:tc>
        <w:tc>
          <w:tcPr>
            <w:tcW w:type="dxa" w:w="4520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vs 5% benchmark — effectively invisible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8D5CB" w:sz="4"/>
        </w:pBdr>
        <w:spacing w:after="100" w:before="22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AI Platform Visibility</w:t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9"/>
        <w:gridCol w:w="2009"/>
        <w:gridCol w:w="2009"/>
        <w:gridCol w:w="2009"/>
        <w:gridCol w:w="2009"/>
      </w:tblGrid>
      <w:tr>
        <w:tc>
          <w:tcPr>
            <w:tcW w:type="dxa" w:w="2009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65F46"/>
                <w:sz w:val="11"/>
                <w:szCs w:val="11"/>
              </w:rPr>
              <w:t xml:space="preserve">DORMANT</w:t>
            </w:r>
          </w:p>
          <w:p>
            <w:pPr>
              <w:spacing w:after="30" w:before="0"/>
              <w:jc w:val="center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5"/>
                <w:szCs w:val="15"/>
              </w:rPr>
              <w:t xml:space="preserve">ChatGPT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84004"/>
                <w:sz w:val="40"/>
                <w:szCs w:val="40"/>
              </w:rPr>
              <w:t xml:space="preserve">7</w:t>
            </w:r>
          </w:p>
          <w:p>
            <w:pPr>
              <w:spacing w:after="60" w:before="3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2"/>
                <w:szCs w:val="12"/>
              </w:rPr>
              <w:t xml:space="preserve">7 users</w:t>
            </w:r>
          </w:p>
          <w:p>
            <w:pPr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E4C40"/>
                <w:sz w:val="13"/>
                <w:szCs w:val="13"/>
              </w:rPr>
              <w:t xml:space="preserve">Publish structured FAQ on model risk management targeting ChatGPT citation patterns.</w:t>
            </w:r>
          </w:p>
        </w:tc>
        <w:tc>
          <w:tcPr>
            <w:tcW w:type="dxa" w:w="2009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9CA3AF"/>
                <w:sz w:val="11"/>
                <w:szCs w:val="11"/>
              </w:rPr>
              <w:t xml:space="preserve">INVISIBLE</w:t>
            </w:r>
          </w:p>
          <w:p>
            <w:pPr>
              <w:spacing w:after="30" w:before="0"/>
              <w:jc w:val="center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5"/>
                <w:szCs w:val="15"/>
              </w:rPr>
              <w:t xml:space="preserve">Perplexity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4BAAE"/>
                <w:sz w:val="40"/>
                <w:szCs w:val="40"/>
              </w:rPr>
              <w:t xml:space="preserve">0</w:t>
            </w:r>
          </w:p>
          <w:p>
            <w:pPr>
              <w:spacing w:after="60" w:before="3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2"/>
                <w:szCs w:val="12"/>
              </w:rPr>
              <w:t xml:space="preserve">0 users</w:t>
            </w:r>
          </w:p>
          <w:p>
            <w:pPr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E4C40"/>
                <w:sz w:val="13"/>
                <w:szCs w:val="13"/>
              </w:rPr>
              <w:t xml:space="preserve">Add definition-style headers to AI Validator page for Perplexity snippet capture.</w:t>
            </w:r>
          </w:p>
        </w:tc>
        <w:tc>
          <w:tcPr>
            <w:tcW w:type="dxa" w:w="2009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9CA3AF"/>
                <w:sz w:val="11"/>
                <w:szCs w:val="11"/>
              </w:rPr>
              <w:t xml:space="preserve">INVISIBLE</w:t>
            </w:r>
          </w:p>
          <w:p>
            <w:pPr>
              <w:spacing w:after="30" w:before="0"/>
              <w:jc w:val="center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5"/>
                <w:szCs w:val="15"/>
              </w:rPr>
              <w:t xml:space="preserve">Gemini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4BAAE"/>
                <w:sz w:val="40"/>
                <w:szCs w:val="40"/>
              </w:rPr>
              <w:t xml:space="preserve">0</w:t>
            </w:r>
          </w:p>
          <w:p>
            <w:pPr>
              <w:spacing w:after="60" w:before="3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2"/>
                <w:szCs w:val="12"/>
              </w:rPr>
              <w:t xml:space="preserve">0 users</w:t>
            </w:r>
          </w:p>
          <w:p>
            <w:pPr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E4C40"/>
                <w:sz w:val="13"/>
                <w:szCs w:val="13"/>
              </w:rPr>
              <w:t xml:space="preserve">Submit sitemap and add speakable schema to top regulatory-topic pages for Gemini indexing.</w:t>
            </w:r>
          </w:p>
        </w:tc>
        <w:tc>
          <w:tcPr>
            <w:tcW w:type="dxa" w:w="2009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65F46"/>
                <w:sz w:val="11"/>
                <w:szCs w:val="11"/>
              </w:rPr>
              <w:t xml:space="preserve">DORMANT</w:t>
            </w:r>
          </w:p>
          <w:p>
            <w:pPr>
              <w:spacing w:after="30" w:before="0"/>
              <w:jc w:val="center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5"/>
                <w:szCs w:val="15"/>
              </w:rPr>
              <w:t xml:space="preserve">Claude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84004"/>
                <w:sz w:val="40"/>
                <w:szCs w:val="40"/>
              </w:rPr>
              <w:t xml:space="preserve">1</w:t>
            </w:r>
          </w:p>
          <w:p>
            <w:pPr>
              <w:spacing w:after="60" w:before="3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2"/>
                <w:szCs w:val="12"/>
              </w:rPr>
              <w:t xml:space="preserve">1 users</w:t>
            </w:r>
          </w:p>
          <w:p>
            <w:pPr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E4C40"/>
                <w:sz w:val="13"/>
                <w:szCs w:val="13"/>
              </w:rPr>
              <w:t xml:space="preserve">Expand SR 11-7 page to 1,500-plus words with cited regulatory sources for Claude training signals.</w:t>
            </w:r>
          </w:p>
        </w:tc>
        <w:tc>
          <w:tcPr>
            <w:tcW w:type="dxa" w:w="2009"/>
            <w:tcBorders>
              <w:top w:val="single" w:color="E8D5CB" w:sz="4"/>
              <w:left w:val="single" w:color="E8D5CB" w:sz="4"/>
              <w:bottom w:val="single" w:color="E8D5CB" w:sz="4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9CA3AF"/>
                <w:sz w:val="11"/>
                <w:szCs w:val="11"/>
              </w:rPr>
              <w:t xml:space="preserve">INVISIBLE</w:t>
            </w:r>
          </w:p>
          <w:p>
            <w:pPr>
              <w:spacing w:after="30" w:before="0"/>
              <w:jc w:val="center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5"/>
                <w:szCs w:val="15"/>
              </w:rPr>
              <w:t xml:space="preserve">Copilot</w:t>
            </w:r>
          </w:p>
          <w:p>
            <w:pPr>
              <w:jc w:val="center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D4BAAE"/>
                <w:sz w:val="40"/>
                <w:szCs w:val="40"/>
              </w:rPr>
              <w:t xml:space="preserve">0</w:t>
            </w:r>
          </w:p>
          <w:p>
            <w:pPr>
              <w:spacing w:after="60" w:before="30"/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2"/>
                <w:szCs w:val="12"/>
              </w:rPr>
              <w:t xml:space="preserve">0 users</w:t>
            </w:r>
          </w:p>
          <w:p>
            <w:pPr>
              <w:jc w:val="center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E4C40"/>
                <w:sz w:val="13"/>
                <w:szCs w:val="13"/>
              </w:rPr>
              <w:t xml:space="preserve">Create a dedicated glossary page for model risk terms to attract Copilot enterprise queries.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8D5CB" w:sz="4"/>
        </w:pBdr>
        <w:spacing w:after="100" w:before="22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Signal Map</w:t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23"/>
        <w:gridCol w:w="5023"/>
      </w:tblGrid>
      <w:tr>
        <w:tc>
          <w:tcPr>
            <w:tcW w:type="dxa" w:w="5023"/>
            <w:tcBorders>
              <w:top w:val="single" w:color="A7F3D0" w:sz="4"/>
              <w:left w:val="single" w:color="A7F3D0" w:sz="4"/>
              <w:bottom w:val="single" w:color="A7F3D0" w:sz="4"/>
              <w:right w:val="single" w:color="A7F3D0" w:sz="4"/>
            </w:tcBorders>
            <w:shd w:fill="ECF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65F46"/>
                <w:sz w:val="11"/>
                <w:szCs w:val="11"/>
              </w:rPr>
              <w:t xml:space="preserve">VALUE FLOW</w:t>
            </w:r>
          </w:p>
          <w:p>
            <w:pPr>
              <w:spacing w:after="4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Organic search drives 916 sessions with 61.8% bounce — 18 points lower than Direct's 81.0%.</w:t>
            </w:r>
          </w:p>
          <w:p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E4C40"/>
                <w:sz w:val="15"/>
                <w:szCs w:val="15"/>
              </w:rPr>
              <w:t xml:space="preserve">Search-acquired visitors show stronger intent and are more likely to convert.</w:t>
            </w:r>
          </w:p>
        </w:tc>
        <w:tc>
          <w:tcPr>
            <w:tcW w:type="dxa" w:w="5023"/>
            <w:tcBorders>
              <w:top w:val="single" w:color="FECACA" w:sz="4"/>
              <w:left w:val="single" w:color="FECACA" w:sz="4"/>
              <w:bottom w:val="single" w:color="FECACA" w:sz="4"/>
              <w:right w:val="single" w:color="FECACA" w:sz="4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991B1B"/>
                <w:sz w:val="11"/>
                <w:szCs w:val="11"/>
              </w:rPr>
              <w:t xml:space="preserve">VALUE LEAK</w:t>
            </w:r>
          </w:p>
          <w:p>
            <w:pPr>
              <w:spacing w:after="4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Direct traffic is 59.7% of sessions at 81.0% bounce — high volume, near-zero retention.</w:t>
            </w:r>
          </w:p>
          <w:p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E4C40"/>
                <w:sz w:val="15"/>
                <w:szCs w:val="15"/>
              </w:rPr>
              <w:t xml:space="preserve">Over half the site's traffic evaporates immediately, wasting brand recognition and server spend.</w:t>
            </w:r>
          </w:p>
        </w:tc>
      </w:tr>
    </w:tbl>
    <w:p>
      <w:pPr>
        <w:spacing w:after="120" w:before="0"/>
      </w:pPr>
      <w:r>
        <w:t xml:space="preserve"/>
      </w:r>
    </w:p>
    <w:p>
      <w:r>
        <w:br w:type="page"/>
      </w:r>
    </w:p>
    <w:p>
      <w:pPr>
        <w:pBdr>
          <w:bottom w:val="single" w:color="E8D5CB" w:sz="4"/>
        </w:pBdr>
        <w:spacing w:after="100" w:before="22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Top Pages</w:t>
      </w:r>
    </w:p>
    <w:tbl>
      <w:tblPr>
        <w:tblW w:type="dxa" w:w="1004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12"/>
        <w:gridCol w:w="1004"/>
        <w:gridCol w:w="1305"/>
        <w:gridCol w:w="1305"/>
        <w:gridCol w:w="1105"/>
        <w:gridCol w:w="2511"/>
      </w:tblGrid>
      <w:tr>
        <w:tc>
          <w:tcPr>
            <w:tcW w:type="dxa" w:w="2812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Page</w:t>
            </w:r>
          </w:p>
        </w:tc>
        <w:tc>
          <w:tcPr>
            <w:tcW w:type="dxa" w:w="1004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Views</w:t>
            </w:r>
          </w:p>
        </w:tc>
        <w:tc>
          <w:tcPr>
            <w:tcW w:type="dxa" w:w="1305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Bounce</w:t>
            </w:r>
          </w:p>
        </w:tc>
        <w:tc>
          <w:tcPr>
            <w:tcW w:type="dxa" w:w="1305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Duration</w:t>
            </w:r>
          </w:p>
        </w:tc>
        <w:tc>
          <w:tcPr>
            <w:tcW w:type="dxa" w:w="1105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Status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Note</w:t>
            </w:r>
          </w:p>
        </w:tc>
      </w:tr>
      <w:tr>
        <w:tc>
          <w:tcPr>
            <w:tcW w:type="dxa" w:w="281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</w:t>
            </w:r>
          </w:p>
        </w:tc>
        <w:tc>
          <w:tcPr>
            <w:tcW w:type="dxa" w:w="1004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1546</w:t>
            </w:r>
          </w:p>
        </w:tc>
        <w:tc>
          <w:tcPr>
            <w:tcW w:type="dxa" w:w="13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63.4%</w:t>
            </w:r>
          </w:p>
        </w:tc>
        <w:tc>
          <w:tcPr>
            <w:tcW w:type="dxa" w:w="13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69.2s</w:t>
            </w:r>
          </w:p>
        </w:tc>
        <w:tc>
          <w:tcPr>
            <w:tcW w:type="dxa" w:w="11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leaking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Highest traffic but bounce just above threshold — entry experience underdelivers.</w:t>
            </w:r>
          </w:p>
        </w:tc>
      </w:tr>
      <w:tr>
        <w:tc>
          <w:tcPr>
            <w:tcW w:type="dxa" w:w="281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/about-us/careers/</w:t>
            </w:r>
          </w:p>
        </w:tc>
        <w:tc>
          <w:tcPr>
            <w:tcW w:type="dxa" w:w="1004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286</w:t>
            </w:r>
          </w:p>
        </w:tc>
        <w:tc>
          <w:tcPr>
            <w:tcW w:type="dxa" w:w="13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32.8%</w:t>
            </w:r>
          </w:p>
        </w:tc>
        <w:tc>
          <w:tcPr>
            <w:tcW w:type="dxa" w:w="13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42.5s</w:t>
            </w:r>
          </w:p>
        </w:tc>
        <w:tc>
          <w:tcPr>
            <w:tcW w:type="dxa" w:w="11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strong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Low bounce signals engaged job-seekers actively reading content.</w:t>
            </w:r>
          </w:p>
        </w:tc>
      </w:tr>
      <w:tr>
        <w:tc>
          <w:tcPr>
            <w:tcW w:type="dxa" w:w="281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/about-us/contact/</w:t>
            </w:r>
          </w:p>
        </w:tc>
        <w:tc>
          <w:tcPr>
            <w:tcW w:type="dxa" w:w="1004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223</w:t>
            </w:r>
          </w:p>
        </w:tc>
        <w:tc>
          <w:tcPr>
            <w:tcW w:type="dxa" w:w="13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24.5%</w:t>
            </w:r>
          </w:p>
        </w:tc>
        <w:tc>
          <w:tcPr>
            <w:tcW w:type="dxa" w:w="13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75.3s</w:t>
            </w:r>
          </w:p>
        </w:tc>
        <w:tc>
          <w:tcPr>
            <w:tcW w:type="dxa" w:w="11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strong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Lowest bounce on site — high purchase-intent behavior confirmed.</w:t>
            </w:r>
          </w:p>
        </w:tc>
      </w:tr>
      <w:tr>
        <w:tc>
          <w:tcPr>
            <w:tcW w:type="dxa" w:w="281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/use-cases/what-is-sr-11-7-guidance-on-model-risk-management/</w:t>
            </w:r>
          </w:p>
        </w:tc>
        <w:tc>
          <w:tcPr>
            <w:tcW w:type="dxa" w:w="1004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120</w:t>
            </w:r>
          </w:p>
        </w:tc>
        <w:tc>
          <w:tcPr>
            <w:tcW w:type="dxa" w:w="13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79.3%</w:t>
            </w:r>
          </w:p>
        </w:tc>
        <w:tc>
          <w:tcPr>
            <w:tcW w:type="dxa" w:w="13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26.0s</w:t>
            </w:r>
          </w:p>
        </w:tc>
        <w:tc>
          <w:tcPr>
            <w:tcW w:type="dxa" w:w="1105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failing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Critical AI-citeable topic but 26.0s duration means content fails on depth.</w:t>
            </w:r>
          </w:p>
        </w:tc>
      </w:tr>
      <w:tr>
        <w:tc>
          <w:tcPr>
            <w:tcW w:type="dxa" w:w="2812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/de/</w:t>
            </w:r>
          </w:p>
        </w:tc>
        <w:tc>
          <w:tcPr>
            <w:tcW w:type="dxa" w:w="1004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114</w:t>
            </w:r>
          </w:p>
        </w:tc>
        <w:tc>
          <w:tcPr>
            <w:tcW w:type="dxa" w:w="1305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18.3%</w:t>
            </w:r>
          </w:p>
        </w:tc>
        <w:tc>
          <w:tcPr>
            <w:tcW w:type="dxa" w:w="1305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210.9s</w:t>
            </w:r>
          </w:p>
        </w:tc>
        <w:tc>
          <w:tcPr>
            <w:tcW w:type="dxa" w:w="1105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strong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German page shows highest engagement — 210.9s and 18.3% bounce outstanding.</w:t>
            </w:r>
          </w:p>
        </w:tc>
      </w:tr>
    </w:tbl>
    <w:p>
      <w:r>
        <w:br w:type="pag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D84004" w:sz="24"/>
              <w:bottom w:val="single" w:color="E8D5CB" w:sz="4"/>
              <w:right w:val="single" w:color="E8D5CB" w:sz="4"/>
            </w:tcBorders>
            <w:shd w:fill="FDEEE6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1E293B"/>
                <w:sz w:val="26"/>
                <w:szCs w:val="26"/>
              </w:rPr>
              <w:t xml:space="preserve">Insights &amp; Action Plan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8D5CB" w:sz="4"/>
        </w:pBdr>
        <w:spacing w:after="100" w:before="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Bright Spots</w:t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065F46" w:sz="16"/>
              <w:bottom w:val="single" w:color="E8D5CB" w:sz="4"/>
              <w:right w:val="single" w:color="E8D5CB" w:sz="4"/>
            </w:tcBorders>
            <w:shd w:fill="D1FAE5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18"/>
                <w:szCs w:val="18"/>
              </w:rPr>
              <w:t xml:space="preserve">German Audience Depth</w:t>
            </w:r>
          </w:p>
          <w:p>
            <w:pPr>
              <w:spacing w:after="30" w:before="0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/de/ page holds visitors 3x longer than homepage at 210.9s.</w:t>
            </w:r>
          </w:p>
          <w:p>
            <w:pPr>
              <w:spacing w:after="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65F46"/>
                <w:sz w:val="15"/>
                <w:szCs w:val="15"/>
              </w:rPr>
              <w:t xml:space="preserve">European market shows disproportionate engagement worth expanding.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065F46" w:sz="16"/>
              <w:bottom w:val="single" w:color="E8D5CB" w:sz="4"/>
              <w:right w:val="single" w:color="E8D5CB" w:sz="4"/>
            </w:tcBorders>
            <w:shd w:fill="D1FAE5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18"/>
                <w:szCs w:val="18"/>
              </w:rPr>
              <w:t xml:space="preserve">Referral Traffic Quality</w:t>
            </w:r>
          </w:p>
          <w:p>
            <w:pPr>
              <w:spacing w:after="30" w:before="0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75 referral sessions bounce at only 49.3% — best channel conversion signal.</w:t>
            </w:r>
          </w:p>
          <w:p>
            <w:pPr>
              <w:spacing w:after="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65F46"/>
                <w:sz w:val="15"/>
                <w:szCs w:val="15"/>
              </w:rPr>
              <w:t xml:space="preserve">Partner and directory links deliver the most engaged visitors on site.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065F46" w:sz="16"/>
              <w:bottom w:val="single" w:color="E8D5CB" w:sz="4"/>
              <w:right w:val="single" w:color="E8D5CB" w:sz="4"/>
            </w:tcBorders>
            <w:shd w:fill="D1FAE5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18"/>
                <w:szCs w:val="18"/>
              </w:rPr>
              <w:t xml:space="preserve">Near-Total New Visitor Base</w:t>
            </w:r>
          </w:p>
          <w:p>
            <w:pPr>
              <w:spacing w:after="30" w:before="0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96.5% of users are new, indicating strong top-of-funnel discovery.</w:t>
            </w:r>
          </w:p>
          <w:p>
            <w:pPr>
              <w:spacing w:after="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65F46"/>
                <w:sz w:val="15"/>
                <w:szCs w:val="15"/>
              </w:rPr>
              <w:t xml:space="preserve">Broad audience reach creates a large addressable pool for AI citation growth.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40" w:before="0"/>
      </w:pPr>
      <w:r>
        <w:t xml:space="preserve"/>
      </w:r>
    </w:p>
    <w:p>
      <w:pPr>
        <w:pBdr>
          <w:bottom w:val="single" w:color="E8D5CB" w:sz="4"/>
        </w:pBdr>
        <w:spacing w:after="100" w:before="22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Attention Zones</w:t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991B1B" w:sz="16"/>
              <w:bottom w:val="single" w:color="E8D5CB" w:sz="4"/>
              <w:right w:val="single" w:color="E8D5CB" w:sz="4"/>
            </w:tcBorders>
            <w:shd w:fill="FEE2E2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991B1B"/>
                <w:sz w:val="15"/>
                <w:szCs w:val="15"/>
              </w:rPr>
              <w:t xml:space="preserve">high</w:t>
            </w: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0F0A08"/>
                <w:sz w:val="16"/>
                <w:szCs w:val="16"/>
              </w:rPr>
              <w:t xml:space="preserve">  </w:t>
            </w: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18"/>
                <w:szCs w:val="18"/>
              </w:rPr>
              <w:t xml:space="preserve">AI Citation Blackout</w:t>
            </w:r>
          </w:p>
          <w:p>
            <w:pPr>
              <w:spacing w:after="30" w:before="0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8 total AI sessions across all platforms in 30 days signals zero content authority.</w:t>
            </w:r>
          </w:p>
          <w:p>
            <w:pPr>
              <w:spacing w:after="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991B1B"/>
                <w:sz w:val="15"/>
                <w:szCs w:val="15"/>
              </w:rPr>
              <w:t xml:space="preserve">Competitors cited by AI will capture fintech queries Cimcon never sees.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991B1B" w:sz="16"/>
              <w:bottom w:val="single" w:color="E8D5CB" w:sz="4"/>
              <w:right w:val="single" w:color="E8D5CB" w:sz="4"/>
            </w:tcBorders>
            <w:shd w:fill="FEE2E2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991B1B"/>
                <w:sz w:val="15"/>
                <w:szCs w:val="15"/>
              </w:rPr>
              <w:t xml:space="preserve">high</w:t>
            </w: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0F0A08"/>
                <w:sz w:val="16"/>
                <w:szCs w:val="16"/>
              </w:rPr>
              <w:t xml:space="preserve">  </w:t>
            </w: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18"/>
                <w:szCs w:val="18"/>
              </w:rPr>
              <w:t xml:space="preserve">SR 11-7 Content Failure</w:t>
            </w:r>
          </w:p>
          <w:p>
            <w:pPr>
              <w:spacing w:after="30" w:before="0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Highest-value regulatory page exits in 26.0s — content too thin to inform or cite.</w:t>
            </w:r>
          </w:p>
          <w:p>
            <w:pPr>
              <w:spacing w:after="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991B1B"/>
                <w:sz w:val="15"/>
                <w:szCs w:val="15"/>
              </w:rPr>
              <w:t xml:space="preserve">Prime AI-citeable topic is actively repelling readers and engines alike.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991B1B" w:sz="16"/>
              <w:bottom w:val="single" w:color="E8D5CB" w:sz="4"/>
              <w:right w:val="single" w:color="E8D5CB" w:sz="4"/>
            </w:tcBorders>
            <w:shd w:fill="FEE2E2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991B1B"/>
                <w:sz w:val="15"/>
                <w:szCs w:val="15"/>
              </w:rPr>
              <w:t xml:space="preserve">high</w:t>
            </w: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0F0A08"/>
                <w:sz w:val="16"/>
                <w:szCs w:val="16"/>
              </w:rPr>
              <w:t xml:space="preserve">  </w:t>
            </w: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18"/>
                <w:szCs w:val="18"/>
              </w:rPr>
              <w:t xml:space="preserve">Direct Traffic Bounce Wall</w:t>
            </w:r>
          </w:p>
          <w:p>
            <w:pPr>
              <w:spacing w:after="30" w:before="0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1,520 direct sessions bounce at 81.0% — site fails its most familiar visitors.</w:t>
            </w:r>
          </w:p>
          <w:p>
            <w:pPr>
              <w:spacing w:after="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991B1B"/>
                <w:sz w:val="15"/>
                <w:szCs w:val="15"/>
              </w:rPr>
              <w:t xml:space="preserve">Brand-aware visitors leave without converting, losing warm pipeline repeatedly.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92400E" w:sz="16"/>
              <w:bottom w:val="single" w:color="E8D5CB" w:sz="4"/>
              <w:right w:val="single" w:color="E8D5CB" w:sz="4"/>
            </w:tcBorders>
            <w:shd w:fill="FEF3C7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92400E"/>
                <w:sz w:val="15"/>
                <w:szCs w:val="15"/>
              </w:rPr>
              <w:t xml:space="preserve">medium</w:t>
            </w: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0F0A08"/>
                <w:sz w:val="16"/>
                <w:szCs w:val="16"/>
              </w:rPr>
              <w:t xml:space="preserve">  </w:t>
            </w: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18"/>
                <w:szCs w:val="18"/>
              </w:rPr>
              <w:t xml:space="preserve">Mobile Audience Underserved</w:t>
            </w:r>
          </w:p>
          <w:p>
            <w:pPr>
              <w:spacing w:after="30" w:before="0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Mobile is 13.4% of sessions but site is 86.5% desktop-configured by behavior.</w:t>
            </w:r>
          </w:p>
          <w:p>
            <w:pPr>
              <w:spacing w:after="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92400E"/>
                <w:sz w:val="15"/>
                <w:szCs w:val="15"/>
              </w:rPr>
              <w:t xml:space="preserve">Growing mobile B2B research audience finds a suboptimal experience.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92400E" w:sz="16"/>
              <w:bottom w:val="single" w:color="E8D5CB" w:sz="4"/>
              <w:right w:val="single" w:color="E8D5CB" w:sz="4"/>
            </w:tcBorders>
            <w:shd w:fill="FEF3C7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92400E"/>
                <w:sz w:val="15"/>
                <w:szCs w:val="15"/>
              </w:rPr>
              <w:t xml:space="preserve">medium</w:t>
            </w: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0F0A08"/>
                <w:sz w:val="16"/>
                <w:szCs w:val="16"/>
              </w:rPr>
              <w:t xml:space="preserve">  </w:t>
            </w:r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0F0A08"/>
                <w:sz w:val="18"/>
                <w:szCs w:val="18"/>
              </w:rPr>
              <w:t xml:space="preserve">Blog Underperforms as Citation Asset</w:t>
            </w:r>
          </w:p>
          <w:p>
            <w:pPr>
              <w:spacing w:after="30" w:before="0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Blog page draws 93 views with 62.7% bounce and 47.8s duration.</w:t>
            </w:r>
          </w:p>
          <w:p>
            <w:pPr>
              <w:spacing w:after="0" w:before="0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92400E"/>
                <w:sz w:val="15"/>
                <w:szCs w:val="15"/>
              </w:rPr>
              <w:t xml:space="preserve">Blog cannot build AI citation authority without deeper, structured content.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40" w:before="0"/>
      </w:pPr>
      <w:r>
        <w:t xml:space="preserve"/>
      </w:r>
    </w:p>
    <w:p>
      <w:pPr>
        <w:pBdr>
          <w:bottom w:val="single" w:color="E8D5CB" w:sz="4"/>
        </w:pBdr>
        <w:spacing w:after="100" w:before="22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Action Plan</w:t>
      </w:r>
    </w:p>
    <w:tbl>
      <w:tblPr>
        <w:tblW w:type="dxa" w:w="1004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"/>
        <w:gridCol w:w="4822"/>
        <w:gridCol w:w="2812"/>
        <w:gridCol w:w="1406"/>
      </w:tblGrid>
      <w:tr>
        <w:tc>
          <w:tcPr>
            <w:tcW w:type="dxa" w:w="1004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Priority</w:t>
            </w:r>
          </w:p>
        </w:tc>
        <w:tc>
          <w:tcPr>
            <w:tcW w:type="dxa" w:w="4822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Action</w:t>
            </w:r>
          </w:p>
        </w:tc>
        <w:tc>
          <w:tcPr>
            <w:tcW w:type="dxa" w:w="2812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Expected Outcome</w:t>
            </w:r>
          </w:p>
        </w:tc>
        <w:tc>
          <w:tcPr>
            <w:tcW w:type="dxa" w:w="1406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Type</w:t>
            </w:r>
          </w:p>
        </w:tc>
      </w:tr>
      <w:tr>
        <w:tc>
          <w:tcPr>
            <w:tcW w:type="dxa" w:w="1004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high</w:t>
            </w:r>
          </w:p>
        </w:tc>
        <w:tc>
          <w:tcPr>
            <w:tcW w:type="dxa" w:w="482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Expand SR 11-7 page to 1,500-plus words: add regulatory definitions, comparison tables, and cited OCC/Fed sources.</w:t>
            </w:r>
          </w:p>
        </w:tc>
        <w:tc>
          <w:tcPr>
            <w:tcW w:type="dxa" w:w="281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Expected to improve AI citation eligibility and reduce 79.3% bounce rate.</w:t>
            </w:r>
          </w:p>
        </w:tc>
        <w:tc>
          <w:tcPr>
            <w:tcW w:type="dxa" w:w="14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GEO</w:t>
            </w:r>
          </w:p>
        </w:tc>
      </w:tr>
      <w:tr>
        <w:tc>
          <w:tcPr>
            <w:tcW w:type="dxa" w:w="1004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high</w:t>
            </w:r>
          </w:p>
        </w:tc>
        <w:tc>
          <w:tcPr>
            <w:tcW w:type="dxa" w:w="482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Rewrite homepage above-fold copy to address a specific visitor problem and add one primary CTA button.</w:t>
            </w:r>
          </w:p>
        </w:tc>
        <w:tc>
          <w:tcPr>
            <w:tcW w:type="dxa" w:w="281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Expected to reduce direct-traffic bounce from 81.0% toward referral benchmark of 49.3%.</w:t>
            </w:r>
          </w:p>
        </w:tc>
        <w:tc>
          <w:tcPr>
            <w:tcW w:type="dxa" w:w="14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UX</w:t>
            </w:r>
          </w:p>
        </w:tc>
      </w:tr>
      <w:tr>
        <w:tc>
          <w:tcPr>
            <w:tcW w:type="dxa" w:w="1004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high</w:t>
            </w:r>
          </w:p>
        </w:tc>
        <w:tc>
          <w:tcPr>
            <w:tcW w:type="dxa" w:w="482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Add FAQ schema markup to AI Validator and SR 11-7 pages targeting model risk and validation queries.</w:t>
            </w:r>
          </w:p>
        </w:tc>
        <w:tc>
          <w:tcPr>
            <w:tcW w:type="dxa" w:w="281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Expected to create structured citation signals for ChatGPT, Perplexity, and Copilot.</w:t>
            </w:r>
          </w:p>
        </w:tc>
        <w:tc>
          <w:tcPr>
            <w:tcW w:type="dxa" w:w="14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GEO</w:t>
            </w:r>
          </w:p>
        </w:tc>
      </w:tr>
      <w:tr>
        <w:tc>
          <w:tcPr>
            <w:tcW w:type="dxa" w:w="1004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medium</w:t>
            </w:r>
          </w:p>
        </w:tc>
        <w:tc>
          <w:tcPr>
            <w:tcW w:type="dxa" w:w="482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Audit mobile page speed for top 5 pages using Core Web Vitals; compress images above 200KB and enable lazy loading.</w:t>
            </w:r>
          </w:p>
        </w:tc>
        <w:tc>
          <w:tcPr>
            <w:tcW w:type="dxa" w:w="281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Expected to improve mobile session quality for the 341 underserved mobile sessions.</w:t>
            </w:r>
          </w:p>
        </w:tc>
        <w:tc>
          <w:tcPr>
            <w:tcW w:type="dxa" w:w="14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Technical</w:t>
            </w:r>
          </w:p>
        </w:tc>
      </w:tr>
      <w:tr>
        <w:tc>
          <w:tcPr>
            <w:tcW w:type="dxa" w:w="1004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medium</w:t>
            </w:r>
          </w:p>
        </w:tc>
        <w:tc>
          <w:tcPr>
            <w:tcW w:type="dxa" w:w="4822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Restructure blog posts with H2 definition headers, numbered lists, and 800-plus word minimum to signal depth to AI engines.</w:t>
            </w:r>
          </w:p>
        </w:tc>
        <w:tc>
          <w:tcPr>
            <w:tcW w:type="dxa" w:w="2812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Expected to improve blog duration beyond 47.8s and increase AI discoverability.</w:t>
            </w:r>
          </w:p>
        </w:tc>
        <w:tc>
          <w:tcPr>
            <w:tcW w:type="dxa" w:w="1406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Content</w:t>
            </w:r>
          </w:p>
        </w:tc>
      </w:tr>
    </w:tbl>
    <w:p>
      <w:r>
        <w:br w:type="page"/>
      </w:r>
    </w:p>
    <w:tbl>
      <w:tblPr>
        <w:tblW w:type="dxa" w:w="100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46"/>
      </w:tblGrid>
      <w:tr>
        <w:tc>
          <w:tcPr>
            <w:tcW w:type="dxa" w:w="10046"/>
            <w:tcBorders>
              <w:top w:val="single" w:color="E8D5CB" w:sz="4"/>
              <w:left w:val="single" w:color="D84004" w:sz="24"/>
              <w:bottom w:val="single" w:color="E8D5CB" w:sz="4"/>
              <w:right w:val="single" w:color="E8D5CB" w:sz="4"/>
            </w:tcBorders>
            <w:shd w:fill="FDEEE6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1E293B"/>
                <w:sz w:val="26"/>
                <w:szCs w:val="26"/>
              </w:rPr>
              <w:t xml:space="preserve">Site Intelligence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8D5CB" w:sz="4"/>
        </w:pBdr>
        <w:spacing w:after="100" w:before="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Channel Mix</w:t>
      </w:r>
    </w:p>
    <w:tbl>
      <w:tblPr>
        <w:tblW w:type="dxa" w:w="10045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23"/>
        <w:gridCol w:w="2511"/>
        <w:gridCol w:w="2511"/>
      </w:tblGrid>
      <w:tr>
        <w:tc>
          <w:tcPr>
            <w:tcW w:type="dxa" w:w="5023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Channel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Sessions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Users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Direct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1520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1415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Referral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75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45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Unassigned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8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8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Organic Search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916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787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Organic Social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28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25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8D5CB" w:sz="4"/>
        </w:pBdr>
        <w:spacing w:after="100" w:before="22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Device Split</w:t>
      </w:r>
    </w:p>
    <w:tbl>
      <w:tblPr>
        <w:tblW w:type="dxa" w:w="10045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23"/>
        <w:gridCol w:w="2511"/>
        <w:gridCol w:w="2511"/>
      </w:tblGrid>
      <w:tr>
        <w:tc>
          <w:tcPr>
            <w:tcW w:type="dxa" w:w="5023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Device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Sessions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Users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mobile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341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290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tablet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4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4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desktop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2204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1979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8D5CB" w:sz="4"/>
        </w:pBdr>
        <w:spacing w:after="100" w:before="22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Audience Reach</w:t>
      </w:r>
    </w:p>
    <w:tbl>
      <w:tblPr>
        <w:tblW w:type="dxa" w:w="10045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23"/>
        <w:gridCol w:w="2511"/>
        <w:gridCol w:w="2511"/>
      </w:tblGrid>
      <w:tr>
        <w:tc>
          <w:tcPr>
            <w:tcW w:type="dxa" w:w="5023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Country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Active Users</w:t>
            </w:r>
          </w:p>
        </w:tc>
        <w:tc>
          <w:tcPr>
            <w:tcW w:type="dxa" w:w="2511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Sessions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China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209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209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India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675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856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Canada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28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31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Germany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40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54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Ireland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17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22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(not set)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60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60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Singapore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497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498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Netherlands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27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28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United States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544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591</w:t>
            </w:r>
          </w:p>
        </w:tc>
      </w:tr>
      <w:tr>
        <w:tc>
          <w:tcPr>
            <w:tcW w:type="dxa" w:w="5023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United Kingdom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36</w:t>
            </w:r>
          </w:p>
        </w:tc>
        <w:tc>
          <w:tcPr>
            <w:tcW w:type="dxa" w:w="2511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48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8D5CB" w:sz="4"/>
        </w:pBdr>
        <w:spacing w:after="100" w:before="22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Engagement Signals</w:t>
      </w:r>
    </w:p>
    <w:tbl>
      <w:tblPr>
        <w:tblW w:type="dxa" w:w="10045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32"/>
        <w:gridCol w:w="3013"/>
      </w:tblGrid>
      <w:tr>
        <w:tc>
          <w:tcPr>
            <w:tcW w:type="dxa" w:w="7032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Event</w:t>
            </w:r>
          </w:p>
        </w:tc>
        <w:tc>
          <w:tcPr>
            <w:tcW w:type="dxa" w:w="3013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Count</w:t>
            </w:r>
          </w:p>
        </w:tc>
      </w:tr>
      <w:tr>
        <w:tc>
          <w:tcPr>
            <w:tcW w:type="dxa" w:w="703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carttp</w:t>
            </w:r>
          </w:p>
        </w:tc>
        <w:tc>
          <w:tcPr>
            <w:tcW w:type="dxa" w:w="301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397</w:t>
            </w:r>
          </w:p>
        </w:tc>
      </w:tr>
      <w:tr>
        <w:tc>
          <w:tcPr>
            <w:tcW w:type="dxa" w:w="703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11vnzzx</w:t>
            </w:r>
          </w:p>
        </w:tc>
        <w:tc>
          <w:tcPr>
            <w:tcW w:type="dxa" w:w="301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284</w:t>
            </w:r>
          </w:p>
        </w:tc>
      </w:tr>
      <w:tr>
        <w:tc>
          <w:tcPr>
            <w:tcW w:type="dxa" w:w="703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1z9ub</w:t>
            </w:r>
          </w:p>
        </w:tc>
        <w:tc>
          <w:tcPr>
            <w:tcW w:type="dxa" w:w="301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273</w:t>
            </w:r>
          </w:p>
        </w:tc>
      </w:tr>
      <w:tr>
        <w:tc>
          <w:tcPr>
            <w:tcW w:type="dxa" w:w="703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15abylc</w:t>
            </w:r>
          </w:p>
        </w:tc>
        <w:tc>
          <w:tcPr>
            <w:tcW w:type="dxa" w:w="301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249</w:t>
            </w:r>
          </w:p>
        </w:tc>
      </w:tr>
      <w:tr>
        <w:tc>
          <w:tcPr>
            <w:tcW w:type="dxa" w:w="703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1i7sfmb</w:t>
            </w:r>
          </w:p>
        </w:tc>
        <w:tc>
          <w:tcPr>
            <w:tcW w:type="dxa" w:w="301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180</w:t>
            </w:r>
          </w:p>
        </w:tc>
      </w:tr>
      <w:tr>
        <w:tc>
          <w:tcPr>
            <w:tcW w:type="dxa" w:w="703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1we954c</w:t>
            </w:r>
          </w:p>
        </w:tc>
        <w:tc>
          <w:tcPr>
            <w:tcW w:type="dxa" w:w="301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180</w:t>
            </w:r>
          </w:p>
        </w:tc>
      </w:tr>
      <w:tr>
        <w:tc>
          <w:tcPr>
            <w:tcW w:type="dxa" w:w="703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dpyfl0</w:t>
            </w:r>
          </w:p>
        </w:tc>
        <w:tc>
          <w:tcPr>
            <w:tcW w:type="dxa" w:w="301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148</w:t>
            </w:r>
          </w:p>
        </w:tc>
      </w:tr>
      <w:tr>
        <w:tc>
          <w:tcPr>
            <w:tcW w:type="dxa" w:w="703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1l763an</w:t>
            </w:r>
          </w:p>
        </w:tc>
        <w:tc>
          <w:tcPr>
            <w:tcW w:type="dxa" w:w="301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136</w:t>
            </w:r>
          </w:p>
        </w:tc>
      </w:tr>
      <w:tr>
        <w:tc>
          <w:tcPr>
            <w:tcW w:type="dxa" w:w="703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visav2</w:t>
            </w:r>
          </w:p>
        </w:tc>
        <w:tc>
          <w:tcPr>
            <w:tcW w:type="dxa" w:w="301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117</w:t>
            </w:r>
          </w:p>
        </w:tc>
      </w:tr>
      <w:tr>
        <w:tc>
          <w:tcPr>
            <w:tcW w:type="dxa" w:w="703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hsh81u</w:t>
            </w:r>
          </w:p>
        </w:tc>
        <w:tc>
          <w:tcPr>
            <w:tcW w:type="dxa" w:w="301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116</w:t>
            </w:r>
          </w:p>
        </w:tc>
      </w:tr>
      <w:tr>
        <w:tc>
          <w:tcPr>
            <w:tcW w:type="dxa" w:w="7032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1ryp2ls</w:t>
            </w:r>
          </w:p>
        </w:tc>
        <w:tc>
          <w:tcPr>
            <w:tcW w:type="dxa" w:w="3013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100</w:t>
            </w:r>
          </w:p>
        </w:tc>
      </w:tr>
      <w:tr>
        <w:tc>
          <w:tcPr>
            <w:tcW w:type="dxa" w:w="7032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12ca5sy</w:t>
            </w:r>
          </w:p>
        </w:tc>
        <w:tc>
          <w:tcPr>
            <w:tcW w:type="dxa" w:w="3013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96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8D5CB" w:sz="4"/>
        </w:pBdr>
        <w:spacing w:after="100" w:before="220"/>
      </w:pPr>
      <w:r>
        <w:rPr>
          <w:rFonts w:ascii="Bricolage Grotesque" w:cs="Bricolage Grotesque" w:eastAsia="Bricolage Grotesque" w:hAnsi="Bricolage Grotesque"/>
          <w:b/>
          <w:bCs/>
          <w:i w:val="false"/>
          <w:iCs w:val="false"/>
          <w:color w:val="D84004"/>
          <w:sz w:val="19"/>
          <w:szCs w:val="19"/>
        </w:rPr>
        <w:t xml:space="preserve">All Pages</w:t>
      </w:r>
    </w:p>
    <w:tbl>
      <w:tblPr>
        <w:tblW w:type="dxa" w:w="1004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19"/>
        <w:gridCol w:w="1506"/>
        <w:gridCol w:w="2009"/>
        <w:gridCol w:w="2310"/>
      </w:tblGrid>
      <w:tr>
        <w:tc>
          <w:tcPr>
            <w:tcW w:type="dxa" w:w="4219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Page Path</w:t>
            </w:r>
          </w:p>
        </w:tc>
        <w:tc>
          <w:tcPr>
            <w:tcW w:type="dxa" w:w="1506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Views</w:t>
            </w:r>
          </w:p>
        </w:tc>
        <w:tc>
          <w:tcPr>
            <w:tcW w:type="dxa" w:w="2009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Bounce Rate</w:t>
            </w:r>
          </w:p>
        </w:tc>
        <w:tc>
          <w:tcPr>
            <w:tcW w:type="dxa" w:w="2310"/>
            <w:tcBorders>
              <w:top w:val="single" w:color="E8D5CB" w:sz="4"/>
              <w:left w:val="single" w:color="E8D5CB" w:sz="4"/>
              <w:bottom w:val="single" w:color="E8D5CB" w:sz="6"/>
              <w:right w:val="single" w:color="E8D5CB" w:sz="4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que" w:cs="Bricolage Grotesque" w:eastAsia="Bricolage Grotesque" w:hAnsi="Bricolage Grotesque"/>
                <w:b/>
                <w:bCs/>
                <w:i w:val="false"/>
                <w:iCs w:val="false"/>
                <w:color w:val="6E4C40"/>
                <w:sz w:val="14"/>
                <w:szCs w:val="14"/>
              </w:rPr>
              <w:t xml:space="preserve">Avg Duration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1546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63.4%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69.2s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/about-us/careers/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286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32.8%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42.5s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/about-us/contact/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223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24.5%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75.3s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/use-cases/what-is-sr-11-7-guidance-on-model-risk-management/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120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79.3%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26s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/de/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114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18.3%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210.9s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/about-us/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111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31.7%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66.9s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/products/ai-validator/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106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27.8%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60s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/clients/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101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18.7%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113.1s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/products/solutions-xl-audit/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96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26.3%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88.8s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/blog/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93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62.7%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47.8s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/use-cases/end-user-computing-risks-what-is-an-euc-what-are-the-risks/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90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37.1%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77.8s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/cimcon25prk/blog/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77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0%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964.1s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/cimcon25prk/compliant-ai-ai-agents-ai-validation-full-end-to-end-ai-lifecycle-management-suite/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76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0%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866.7s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/request-free-trial/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65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14.3%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98.2s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/products/solutions-eucinsight/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62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33.3%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84.9s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/services/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62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20.4%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88.9s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/products/ai-agents/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59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23.5%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112.3s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/products/euc-insight-change-management/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52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32.6%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44.8s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/products/solutions-eucinsight-inventory/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51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29.2%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single" w:color="FDF3F0" w:sz="2"/>
              <w:right w:val="single" w:color="E8D5C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21s</w:t>
            </w:r>
          </w:p>
        </w:tc>
      </w:tr>
      <w:tr>
        <w:tc>
          <w:tcPr>
            <w:tcW w:type="dxa" w:w="4219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Source Sans 3" w:cs="Source Sans 3" w:eastAsia="Source Sans 3" w:hAnsi="Source Sans 3"/>
                <w:b/>
                <w:bCs/>
                <w:i w:val="false"/>
                <w:iCs w:val="false"/>
                <w:color w:val="0F0A08"/>
                <w:sz w:val="16"/>
                <w:szCs w:val="16"/>
              </w:rPr>
              <w:t xml:space="preserve">/products/link-fixer/</w:t>
            </w:r>
          </w:p>
        </w:tc>
        <w:tc>
          <w:tcPr>
            <w:tcW w:type="dxa" w:w="1506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48</w:t>
            </w:r>
          </w:p>
        </w:tc>
        <w:tc>
          <w:tcPr>
            <w:tcW w:type="dxa" w:w="2009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37.8%</w:t>
            </w:r>
          </w:p>
        </w:tc>
        <w:tc>
          <w:tcPr>
            <w:tcW w:type="dxa" w:w="2310"/>
            <w:tcBorders>
              <w:top w:val="none" w:color="FFFFFF" w:sz="0"/>
              <w:left w:val="single" w:color="E8D5CB" w:sz="4"/>
              <w:bottom w:val="none" w:color="FFFFFF" w:sz="0"/>
              <w:right w:val="single" w:color="E8D5CB" w:sz="4"/>
            </w:tcBorders>
            <w:shd w:fill="FFFB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Source Sans 3" w:cs="Source Sans 3" w:eastAsia="Source Sans 3" w:hAnsi="Source Sans 3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44.4s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00" w:right="860" w:bottom="1134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8D5CB" w:sz="4"/>
      </w:pBdr>
      <w:spacing w:before="80"/>
      <w:jc w:val="center"/>
    </w:pPr>
    <w:r>
      <w:rPr>
        <w:rFonts w:ascii="Source Sans 3" w:cs="Source Sans 3" w:eastAsia="Source Sans 3" w:hAnsi="Source Sans 3"/>
        <w:b w:val="false"/>
        <w:bCs w:val="false"/>
        <w:i w:val="false"/>
        <w:iCs w:val="false"/>
        <w:color w:val="6B7280"/>
        <w:sz w:val="16"/>
        <w:szCs w:val="16"/>
      </w:rPr>
      <w:t xml:space="preserve">March 26, 2026 at 21:02  |  Page </w:t>
    </w:r>
    <w:r>
      <w:rPr>
        <w:rFonts w:ascii="Source Sans 3" w:cs="Source Sans 3" w:eastAsia="Source Sans 3" w:hAnsi="Source Sans 3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Source Sans 3" w:cs="Source Sans 3" w:eastAsia="Source Sans 3" w:hAnsi="Source Sans 3"/>
        <w:b w:val="false"/>
        <w:bCs w:val="false"/>
        <w:i w:val="false"/>
        <w:iCs w:val="false"/>
        <w:color w:val="6B7280"/>
        <w:sz w:val="16"/>
        <w:szCs w:val="16"/>
      </w:rPr>
      <w:t xml:space="preserve"> of </w:t>
    </w:r>
    <w:r>
      <w:rPr>
        <w:rFonts w:ascii="Source Sans 3" w:cs="Source Sans 3" w:eastAsia="Source Sans 3" w:hAnsi="Source Sans 3"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8D5CB" w:sz="4"/>
      </w:pBdr>
      <w:spacing w:after="80"/>
    </w:pPr>
    <w:r>
      <w:rPr>
        <w:rFonts w:ascii="Source Sans 3" w:cs="Source Sans 3" w:eastAsia="Source Sans 3" w:hAnsi="Source Sans 3"/>
        <w:b w:val="false"/>
        <w:bCs w:val="false"/>
        <w:i w:val="false"/>
        <w:iCs w:val="false"/>
        <w:color w:val="6B7280"/>
        <w:sz w:val="16"/>
        <w:szCs w:val="16"/>
      </w:rPr>
      <w:t xml:space="preserve">GEO Intelligence Report</w:t>
    </w:r>
    <w:r>
      <w:rPr>
        <w:rFonts w:ascii="Source Sans 3" w:cs="Source Sans 3" w:eastAsia="Source Sans 3" w:hAnsi="Source Sans 3"/>
        <w:b w:val="false"/>
        <w:bCs w:val="false"/>
        <w:i w:val="false"/>
        <w:iCs w:val="false"/>
        <w:color w:val="E8D5CB"/>
        <w:sz w:val="16"/>
        <w:szCs w:val="16"/>
      </w:rPr>
      <w:t xml:space="preserve">  |  </w:t>
    </w:r>
    <w:r>
      <w:rPr>
        <w:rFonts w:ascii="Source Sans 3" w:cs="Source Sans 3" w:eastAsia="Source Sans 3" w:hAnsi="Source Sans 3"/>
        <w:b w:val="false"/>
        <w:bCs w:val="false"/>
        <w:i w:val="false"/>
        <w:iCs w:val="false"/>
        <w:color w:val="6E4C40"/>
        <w:sz w:val="16"/>
        <w:szCs w:val="16"/>
      </w:rPr>
      <w:t xml:space="preserve">http://www.cimcon.com - GA4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3" w:cs="Source Sans 3" w:eastAsia="Source Sans 3" w:hAnsi="Source Sans 3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2026-03-26T21:22:40.970Z</dcterms:created>
  <dcterms:modified xsi:type="dcterms:W3CDTF">2026-03-26T21:22:40.970Z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