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20" w:before="0"/>
      </w:pPr>
      <w:r>
        <w:t xml:space="preserve"/>
      </w:r>
    </w:p>
    <w:p>
      <w:pPr>
        <w:jc w:val="center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64"/>
          <w:szCs w:val="64"/>
        </w:rPr>
        <w:t xml:space="preserve">GEO</w:t>
      </w:r>
    </w:p>
    <w:p>
      <w:pPr>
        <w:jc w:val="center"/>
      </w:pPr>
      <w:r>
        <w:rPr>
          <w:rFonts w:ascii="Bricolage Grotesque" w:cs="Bricolage Grotesque" w:eastAsia="Bricolage Grotesque" w:hAnsi="Bricolage Grotesque"/>
          <w:b/>
          <w:bCs/>
          <w:i/>
          <w:iCs/>
          <w:color w:val="6E4C40"/>
          <w:sz w:val="64"/>
          <w:szCs w:val="64"/>
        </w:rPr>
        <w:t xml:space="preserve">Intelligence</w:t>
      </w:r>
    </w:p>
    <w:p>
      <w:pPr>
        <w:spacing w:after="200" w:before="0"/>
        <w:jc w:val="center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64"/>
          <w:szCs w:val="64"/>
        </w:rPr>
        <w:t xml:space="preserve">Report</w:t>
      </w:r>
    </w:p>
    <w:p>
      <w:pPr>
        <w:spacing w:after="400" w:before="0"/>
        <w:jc w:val="center"/>
      </w:pPr>
      <w:r>
        <w:rPr>
          <w:rFonts w:ascii="Source Sans 3" w:cs="Source Sans 3" w:eastAsia="Source Sans 3" w:hAnsi="Source Sans 3"/>
          <w:b w:val="false"/>
          <w:bCs w:val="false"/>
          <w:i w:val="false"/>
          <w:iCs w:val="false"/>
          <w:color w:val="6B7280"/>
          <w:sz w:val="15"/>
          <w:szCs w:val="15"/>
        </w:rPr>
        <w:t xml:space="preserve">AI VISIBILITY  |  TRAFFIC INTELLIGENCE  |  ACTION PLAN</w:t>
      </w:r>
    </w:p>
    <w:p>
      <w:pPr>
        <w:pBdr>
          <w:bottom w:val="single" w:color="E8D5CB" w:sz="4"/>
        </w:pBdr>
        <w:spacing w:after="240" w:before="0"/>
      </w:pPr>
      <w:r>
        <w:t xml:space="preserve"/>
      </w:r>
    </w:p>
    <w:p>
      <w:pPr>
        <w:spacing w:after="80" w:before="0"/>
        <w:jc w:val="center"/>
      </w:pPr>
      <w:r>
        <w:rPr>
          <w:rFonts w:ascii="Source Sans 3" w:cs="Source Sans 3" w:eastAsia="Source Sans 3" w:hAnsi="Source Sans 3"/>
          <w:b w:val="false"/>
          <w:bCs w:val="false"/>
          <w:i w:val="false"/>
          <w:iCs w:val="false"/>
          <w:color w:val="6B7280"/>
          <w:sz w:val="13"/>
          <w:szCs w:val="13"/>
        </w:rPr>
        <w:t xml:space="preserve">TARGET WEBSITE</w:t>
      </w:r>
    </w:p>
    <w:p>
      <w:pPr>
        <w:spacing w:after="360" w:before="0"/>
        <w:jc w:val="center"/>
      </w:pPr>
      <w:r>
        <w:rPr>
          <w:rFonts w:ascii="Courier New" w:cs="Courier New" w:eastAsia="Courier New" w:hAnsi="Courier New"/>
          <w:b/>
          <w:bCs/>
          <w:i w:val="false"/>
          <w:iCs w:val="false"/>
          <w:color w:val="6E4C40"/>
          <w:sz w:val="20"/>
          <w:szCs w:val="20"/>
        </w:rPr>
        <w:t xml:space="preserve">notionx website</w:t>
      </w:r>
    </w:p>
    <w:tbl>
      <w:tblPr>
        <w:tblW w:type="dxa" w:w="5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</w:tblGrid>
      <w:tr>
        <w:tc>
          <w:tcPr>
            <w:tcW w:type="dxa" w:w="2500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3"/>
                <w:szCs w:val="13"/>
              </w:rPr>
              <w:t xml:space="preserve">GEO SCORE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56"/>
                <w:szCs w:val="56"/>
              </w:rPr>
              <w:t xml:space="preserve">53</w:t>
            </w:r>
          </w:p>
          <w:p>
            <w:pPr>
              <w:spacing w:after="0" w:before="4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out of 100</w:t>
            </w:r>
          </w:p>
        </w:tc>
        <w:tc>
          <w:tcPr>
            <w:tcW w:type="dxa" w:w="2500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3"/>
                <w:szCs w:val="13"/>
              </w:rPr>
              <w:t xml:space="preserve">STATUS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36"/>
                <w:szCs w:val="36"/>
              </w:rPr>
              <w:t xml:space="preserve">WARNING</w:t>
            </w:r>
          </w:p>
          <w:p>
            <w:pPr>
              <w:spacing w:after="0" w:before="4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AI readiness</w:t>
            </w:r>
          </w:p>
        </w:tc>
      </w:tr>
    </w:tbl>
    <w:p>
      <w:pPr>
        <w:spacing w:after="24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11"/>
        <w:gridCol w:w="2511"/>
        <w:gridCol w:w="2511"/>
        <w:gridCol w:w="2511"/>
      </w:tblGrid>
      <w:tr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SESSIONS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225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USERS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103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BOUNCE RATE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63.6%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AVG DURATION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269.6s</w:t>
            </w:r>
          </w:p>
        </w:tc>
      </w:tr>
    </w:tbl>
    <w:p>
      <w:pPr>
        <w:spacing w:after="24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8"/>
        <w:gridCol w:w="3348"/>
        <w:gridCol w:w="3348"/>
      </w:tblGrid>
      <w:tr>
        <w:tc>
          <w:tcPr>
            <w:tcW w:type="dxa" w:w="3348"/>
            <w:tcBorders>
              <w:top w:val="single" w:color="E8D5CB" w:sz="4"/>
              <w:left w:val="single" w:color="E8D5CB" w:sz="4"/>
              <w:bottom w:val="single" w:color="E8D5CB" w:sz="4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9CA3AF"/>
                <w:sz w:val="13"/>
                <w:szCs w:val="13"/>
              </w:rPr>
              <w:t xml:space="preserve">DATE RANGE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8"/>
                <w:szCs w:val="18"/>
              </w:rPr>
              <w:t xml:space="preserve">2026-02-24 → 2026-03-25</w:t>
            </w:r>
          </w:p>
        </w:tc>
        <w:tc>
          <w:tcPr>
            <w:tcW w:type="dxa" w:w="3348"/>
            <w:tcBorders>
              <w:top w:val="single" w:color="E8D5CB" w:sz="4"/>
              <w:left w:val="single" w:color="E8D5CB" w:sz="4"/>
              <w:bottom w:val="single" w:color="E8D5CB" w:sz="4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9CA3AF"/>
                <w:sz w:val="13"/>
                <w:szCs w:val="13"/>
              </w:rPr>
              <w:t xml:space="preserve">ANALYSIS DATE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8"/>
                <w:szCs w:val="18"/>
              </w:rPr>
              <w:t xml:space="preserve">March 26, 2026 at 20:35</w:t>
            </w:r>
          </w:p>
        </w:tc>
        <w:tc>
          <w:tcPr>
            <w:tcW w:type="dxa" w:w="3348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9CA3AF"/>
                <w:sz w:val="13"/>
                <w:szCs w:val="13"/>
              </w:rPr>
              <w:t xml:space="preserve">REPORT TYPE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8"/>
                <w:szCs w:val="18"/>
              </w:rPr>
              <w:t xml:space="preserve">GEO Intelligence</w:t>
            </w:r>
          </w:p>
        </w:tc>
      </w:tr>
    </w:tbl>
    <w:p>
      <w:r>
        <w:br w:type="pag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4"/>
              <w:bottom w:val="single" w:color="E8D5CB" w:sz="4"/>
              <w:right w:val="single" w:color="E8D5CB" w:sz="4"/>
            </w:tcBorders>
            <w:shd w:fill="FDEE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1E293B"/>
                <w:sz w:val="26"/>
                <w:szCs w:val="26"/>
              </w:rPr>
              <w:t xml:space="preserve">GEO Intelligence Analysis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56"/>
                <w:szCs w:val="56"/>
              </w:rPr>
              <w:t xml:space="preserve">53</w:t>
            </w: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D84004"/>
                <w:sz w:val="16"/>
                <w:szCs w:val="16"/>
              </w:rPr>
              <w:t xml:space="preserve">  WARNING</w:t>
            </w:r>
          </w:p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30"/>
                <w:szCs w:val="30"/>
              </w:rPr>
              <w:t xml:space="preserve">AI search nearly blind, content engagement split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8"/>
                <w:szCs w:val="18"/>
              </w:rPr>
              <w:t xml:space="preserve">Only 5 AI sessions recorded while top content holds 642.9s average duration</w:t>
            </w:r>
          </w:p>
        </w:tc>
      </w:tr>
    </w:tbl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11"/>
        <w:gridCol w:w="2511"/>
        <w:gridCol w:w="2511"/>
        <w:gridCol w:w="2511"/>
      </w:tblGrid>
      <w:tr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AI VISIBILITY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14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/30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CONTENT QUALITY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16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/25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DISCOVERABILITY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15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/25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REACH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8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/20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0"/>
              <w:bottom w:val="single" w:color="E8D5CB" w:sz="4"/>
              <w:right w:val="single" w:color="E8D5CB" w:sz="4"/>
            </w:tcBorders>
            <w:shd w:fill="FFF8F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374151"/>
                <w:sz w:val="17"/>
                <w:szCs w:val="17"/>
              </w:rPr>
              <w:t xml:space="preserve">NotionX attracts 225 sessions but AI engines refer only 2.22% of traffic, leaving the core product promise unproven by its own data. Without AI-driven citation growth, the business is building an audience that does not include the buyers AI search will send to competitors.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D84004" w:sz="6"/>
              <w:left w:val="single" w:color="D84004" w:sz="6"/>
              <w:bottom w:val="single" w:color="D84004" w:sz="6"/>
              <w:right w:val="single" w:color="D84004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12"/>
                <w:szCs w:val="12"/>
              </w:rPr>
              <w:t xml:space="preserve">HIDDEN PATTERN DETECTED</w:t>
            </w:r>
          </w:p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0"/>
                <w:szCs w:val="20"/>
              </w:rPr>
              <w:t xml:space="preserve">Blog index draws 43 views with 8.6% bounce, but individual GEO posts average under 5 views each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7"/>
                <w:szCs w:val="17"/>
              </w:rPr>
              <w:t xml:space="preserve">Readers browse the blog hub but do not reach the specific articles that could earn AI citations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Vital Signs</w:t>
      </w:r>
    </w:p>
    <w:tbl>
      <w:tblPr>
        <w:tblW w:type="dxa" w:w="1004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10"/>
        <w:gridCol w:w="1808"/>
        <w:gridCol w:w="1506"/>
        <w:gridCol w:w="4520"/>
      </w:tblGrid>
      <w:tr>
        <w:tc>
          <w:tcPr>
            <w:tcW w:type="dxa" w:w="2210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Metric</w:t>
            </w:r>
          </w:p>
        </w:tc>
        <w:tc>
          <w:tcPr>
            <w:tcW w:type="dxa" w:w="1808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Value</w:t>
            </w:r>
          </w:p>
        </w:tc>
        <w:tc>
          <w:tcPr>
            <w:tcW w:type="dxa" w:w="1506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Status</w:t>
            </w:r>
          </w:p>
        </w:tc>
        <w:tc>
          <w:tcPr>
            <w:tcW w:type="dxa" w:w="4520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Context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Sessions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225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warning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Low volume, insufficient for statistical AI benchmarking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Users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103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warning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79 new (76.7% new)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Bounce Rate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63.6%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warning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Above 60% threshold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Avg Duration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269.6s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good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Well above 40s threshold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AI Visibility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2.22%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critical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Below 5% benchmark, dormant range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AI Platform Visibility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9"/>
        <w:gridCol w:w="2009"/>
        <w:gridCol w:w="2009"/>
        <w:gridCol w:w="2009"/>
        <w:gridCol w:w="2009"/>
      </w:tblGrid>
      <w:tr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CA3AF"/>
                <w:sz w:val="11"/>
                <w:szCs w:val="11"/>
              </w:rPr>
              <w:t xml:space="preserve">INVISIBLE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ChatGPT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4BAAE"/>
                <w:sz w:val="40"/>
                <w:szCs w:val="40"/>
              </w:rPr>
              <w:t xml:space="preserve">0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0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Publish FAQ schema on /blog/chatgpt-vs-grok targeting ChatGPT citation queries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65F46"/>
                <w:sz w:val="11"/>
                <w:szCs w:val="11"/>
              </w:rPr>
              <w:t xml:space="preserve">DORMANT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Perplexity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40"/>
                <w:szCs w:val="40"/>
              </w:rPr>
              <w:t xml:space="preserve">3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2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Add structured definitions and source citations to top GEO blog posts for Perplexity indexing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65F46"/>
                <w:sz w:val="11"/>
                <w:szCs w:val="11"/>
              </w:rPr>
              <w:t xml:space="preserve">DORMANT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Gemini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40"/>
                <w:szCs w:val="40"/>
              </w:rPr>
              <w:t xml:space="preserve">2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1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Submit /restaurant-ai-visibility to Google Search Console and add speakable schema markup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CA3AF"/>
                <w:sz w:val="11"/>
                <w:szCs w:val="11"/>
              </w:rPr>
              <w:t xml:space="preserve">INVISIBLE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Claude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4BAAE"/>
                <w:sz w:val="40"/>
                <w:szCs w:val="40"/>
              </w:rPr>
              <w:t xml:space="preserve">0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0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Create authoritative GEO glossary page with clear entity definitions Claude can extract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CA3AF"/>
                <w:sz w:val="11"/>
                <w:szCs w:val="11"/>
              </w:rPr>
              <w:t xml:space="preserve">INVISIBLE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Copilot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4BAAE"/>
                <w:sz w:val="40"/>
                <w:szCs w:val="40"/>
              </w:rPr>
              <w:t xml:space="preserve">0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0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Add author credentials and publication dates to all blog posts to satisfy Copilot trust signals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Signal Map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5023"/>
      </w:tblGrid>
      <w:tr>
        <w:tc>
          <w:tcPr>
            <w:tcW w:type="dxa" w:w="5023"/>
            <w:tcBorders>
              <w:top w:val="single" w:color="A7F3D0" w:sz="4"/>
              <w:left w:val="single" w:color="A7F3D0" w:sz="4"/>
              <w:bottom w:val="single" w:color="A7F3D0" w:sz="4"/>
              <w:right w:val="single" w:color="A7F3D0" w:sz="4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65F46"/>
                <w:sz w:val="11"/>
                <w:szCs w:val="11"/>
              </w:rPr>
              <w:t xml:space="preserve">VALUE FLOW</w:t>
            </w:r>
          </w:p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Referral traffic produces 37 sessions with 48.6% bounce, lowest of all channels, and blog pages hold 176.2s average</w:t>
            </w:r>
          </w:p>
          <w:p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5"/>
                <w:szCs w:val="15"/>
              </w:rPr>
              <w:t xml:space="preserve">Referred visitors are the most qualified and engaged audience segment currently</w:t>
            </w:r>
          </w:p>
        </w:tc>
        <w:tc>
          <w:tcPr>
            <w:tcW w:type="dxa" w:w="5023"/>
            <w:tcBorders>
              <w:top w:val="single" w:color="FECACA" w:sz="4"/>
              <w:left w:val="single" w:color="FECACA" w:sz="4"/>
              <w:bottom w:val="single" w:color="FECACA" w:sz="4"/>
              <w:right w:val="single" w:color="FECACA" w:sz="4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91B1B"/>
                <w:sz w:val="11"/>
                <w:szCs w:val="11"/>
              </w:rPr>
              <w:t xml:space="preserve">VALUE LEAK</w:t>
            </w:r>
          </w:p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Organic search drives 23 sessions but bounces at 73.9%, and GEO-titled posts average under 5 views each</w:t>
            </w:r>
          </w:p>
          <w:p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5"/>
                <w:szCs w:val="15"/>
              </w:rPr>
              <w:t xml:space="preserve">Search traffic finds content but leaves fast, wasting the highest-intent acquisition channel</w:t>
            </w:r>
          </w:p>
        </w:tc>
      </w:tr>
    </w:tbl>
    <w:p>
      <w:pPr>
        <w:spacing w:after="120" w:before="0"/>
      </w:pPr>
      <w:r>
        <w:t xml:space="preserve"/>
      </w:r>
    </w:p>
    <w:p>
      <w:r>
        <w:br w:type="pag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Top Pages</w:t>
      </w:r>
    </w:p>
    <w:tbl>
      <w:tblPr>
        <w:tblW w:type="dxa" w:w="1004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12"/>
        <w:gridCol w:w="1004"/>
        <w:gridCol w:w="1305"/>
        <w:gridCol w:w="1305"/>
        <w:gridCol w:w="1105"/>
        <w:gridCol w:w="2511"/>
      </w:tblGrid>
      <w:tr>
        <w:tc>
          <w:tcPr>
            <w:tcW w:type="dxa" w:w="281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Page</w:t>
            </w:r>
          </w:p>
        </w:tc>
        <w:tc>
          <w:tcPr>
            <w:tcW w:type="dxa" w:w="1004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Views</w:t>
            </w:r>
          </w:p>
        </w:tc>
        <w:tc>
          <w:tcPr>
            <w:tcW w:type="dxa" w:w="1305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Bounce</w:t>
            </w:r>
          </w:p>
        </w:tc>
        <w:tc>
          <w:tcPr>
            <w:tcW w:type="dxa" w:w="1305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Duration</w:t>
            </w:r>
          </w:p>
        </w:tc>
        <w:tc>
          <w:tcPr>
            <w:tcW w:type="dxa" w:w="1105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Status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Note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43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8.6%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176.2s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strong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Highest views with lowest bounce, signals strong navigation intent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/restaurant-ai-visibility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14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53.8%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642.9s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strong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Longest engagement at 642.9s indicates deep qualified reading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/blog/chatgpt-vs-grok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45.8%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202.0s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strong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Solid duration and sub-50% bounce suggests comparison intent audience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61.6%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101.2s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leaking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Homepage bounce exceeds 60% threshold with only 101.2s duration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/blog/why-geo-is-the-future-of-ai-search-in-2026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71.4%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22.9s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failing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Duration of 22.9s far below 40s threshold despite high-intent title</w:t>
            </w:r>
          </w:p>
        </w:tc>
      </w:tr>
    </w:tbl>
    <w:p>
      <w:r>
        <w:br w:type="pag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4"/>
              <w:bottom w:val="single" w:color="E8D5CB" w:sz="4"/>
              <w:right w:val="single" w:color="E8D5CB" w:sz="4"/>
            </w:tcBorders>
            <w:shd w:fill="FDEE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1E293B"/>
                <w:sz w:val="26"/>
                <w:szCs w:val="26"/>
              </w:rPr>
              <w:t xml:space="preserve">Insights &amp; Action Plan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Bright Spots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065F46" w:sz="16"/>
              <w:bottom w:val="single" w:color="E8D5CB" w:sz="4"/>
              <w:right w:val="single" w:color="E8D5CB" w:sz="4"/>
            </w:tcBorders>
            <w:shd w:fill="D1FAE5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Deep Content Engagement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/restaurant-ai-visibility holds 642.9s duration, 6.3x the site average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65F46"/>
                <w:sz w:val="15"/>
                <w:szCs w:val="15"/>
              </w:rPr>
              <w:t xml:space="preserve">Signals topic authority AI engines can potentially extract and cite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065F46" w:sz="16"/>
              <w:bottom w:val="single" w:color="E8D5CB" w:sz="4"/>
              <w:right w:val="single" w:color="E8D5CB" w:sz="4"/>
            </w:tcBorders>
            <w:shd w:fill="D1FAE5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Blog Hub Retention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Blog index bounce at 8.6% versus 63.6% site average, a 7.4x difference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65F46"/>
                <w:sz w:val="15"/>
                <w:szCs w:val="15"/>
              </w:rPr>
              <w:t xml:space="preserve">Visitors who reach the blog are highly likely to explore further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065F46" w:sz="16"/>
              <w:bottom w:val="single" w:color="E8D5CB" w:sz="4"/>
              <w:right w:val="single" w:color="E8D5CB" w:sz="4"/>
            </w:tcBorders>
            <w:shd w:fill="D1FAE5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Enterprise GEO Post Depth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/blog/how-enterprises-are-transitioning shows 343.3s duration with 0% bounce across 4 views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65F46"/>
                <w:sz w:val="15"/>
                <w:szCs w:val="15"/>
              </w:rPr>
              <w:t xml:space="preserve">Early signal of high-value reader segment with strong retention potential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Attention Zones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91B1B" w:sz="16"/>
              <w:bottom w:val="single" w:color="E8D5CB" w:sz="4"/>
              <w:right w:val="single" w:color="E8D5CB" w:sz="4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high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Homepage Conversion Failure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Homepage draws 20 views but bounces at 61.6% in only 101.2s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Primary landing page fails to convert or retain any traffic source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91B1B" w:sz="16"/>
              <w:bottom w:val="single" w:color="E8D5CB" w:sz="4"/>
              <w:right w:val="single" w:color="E8D5CB" w:sz="4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high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GEO Content Undiscoverable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Key GEO posts average under 5 views despite organic search channel active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Core product-relevant content earns no AI citations and minimal organic reach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2400E" w:sz="16"/>
              <w:bottom w:val="single" w:color="E8D5CB" w:sz="4"/>
              <w:right w:val="single" w:color="E8D5CB" w:sz="4"/>
            </w:tcBorders>
            <w:shd w:fill="FEF3C7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medium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Mobile Traffic Negligible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Mobile accounts for only 15 sessions versus 219 desktop, a 14.6x gap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Potential AI referral traffic from mobile use cases entirely unmeasured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91B1B" w:sz="16"/>
              <w:bottom w:val="single" w:color="E8D5CB" w:sz="4"/>
              <w:right w:val="single" w:color="E8D5CB" w:sz="4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high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Organic Search Leaking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Organic search bounces at 73.9%, highest engaged channel wasting most arrivals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Paid or earned search visibility converts to zero retention or authority signal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2400E" w:sz="16"/>
              <w:bottom w:val="single" w:color="E8D5CB" w:sz="4"/>
              <w:right w:val="single" w:color="E8D5CB" w:sz="4"/>
            </w:tcBorders>
            <w:shd w:fill="FEF3C7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medium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AI Platform Concentration Risk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Only 2 of 5 tracked AI platforms show any sessions, both in dormant range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Single platform disruption eliminates entire AI referral traffic base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Action Plan</w:t>
      </w:r>
    </w:p>
    <w:tbl>
      <w:tblPr>
        <w:tblW w:type="dxa" w:w="1004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"/>
        <w:gridCol w:w="4822"/>
        <w:gridCol w:w="2812"/>
        <w:gridCol w:w="1406"/>
      </w:tblGrid>
      <w:tr>
        <w:tc>
          <w:tcPr>
            <w:tcW w:type="dxa" w:w="1004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Priority</w:t>
            </w:r>
          </w:p>
        </w:tc>
        <w:tc>
          <w:tcPr>
            <w:tcW w:type="dxa" w:w="482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Action</w:t>
            </w:r>
          </w:p>
        </w:tc>
        <w:tc>
          <w:tcPr>
            <w:tcW w:type="dxa" w:w="281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Expected Outcome</w:t>
            </w:r>
          </w:p>
        </w:tc>
        <w:tc>
          <w:tcPr>
            <w:tcW w:type="dxa" w:w="1406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Type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high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Redesign homepage above-fold: add single clear CTA, reduce load to under 3 seconds, test headline against GEO value proposition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reduce homepage bounce below 50% threshold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UX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high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Add internal links from /blog hub to each GEO post, and embed FAQ schema blocks in top 3 articles for AI extraction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improve AI citation eligibility and post-level views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GEO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high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Audit organic search landing pages, rewrite meta descriptions to match GEO search intent, add sticky scroll-depth CTAs to reduce exit rate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reduce organic bounce from 73.9% toward referral channel levels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SEO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medium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Implement responsive mobile layout audit across all blog pages, test on 3 device sizes, and verify mobile page speed under 2 seconds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surface mobile AI referral sessions currently unmeasured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Technical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medium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Publish one structured authority page targeting ChatGPT and Claude citation patterns, with definitions, named entities, and sourced statistics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move ChatGPT and Claude from invisible to dormant status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GEO</w:t>
            </w:r>
          </w:p>
        </w:tc>
      </w:tr>
    </w:tbl>
    <w:p>
      <w:r>
        <w:br w:type="pag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4"/>
              <w:bottom w:val="single" w:color="E8D5CB" w:sz="4"/>
              <w:right w:val="single" w:color="E8D5CB" w:sz="4"/>
            </w:tcBorders>
            <w:shd w:fill="FDEE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1E293B"/>
                <w:sz w:val="26"/>
                <w:szCs w:val="26"/>
              </w:rPr>
              <w:t xml:space="preserve">Site Intelligence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Channel Mix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2511"/>
        <w:gridCol w:w="2511"/>
      </w:tblGrid>
      <w:tr>
        <w:tc>
          <w:tcPr>
            <w:tcW w:type="dxa" w:w="502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Channel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Sessions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Users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Direct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142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73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Referral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37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Unassigned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19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Organic Search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23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Organic Social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Device Split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2511"/>
        <w:gridCol w:w="2511"/>
      </w:tblGrid>
      <w:tr>
        <w:tc>
          <w:tcPr>
            <w:tcW w:type="dxa" w:w="502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Device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Sessions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Users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mobile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15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desktop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219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97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Audience Reach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2511"/>
        <w:gridCol w:w="2511"/>
      </w:tblGrid>
      <w:tr>
        <w:tc>
          <w:tcPr>
            <w:tcW w:type="dxa" w:w="502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Country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Active Users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Sessions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India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46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168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Spain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Canada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Germany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Barbados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Pakistan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(not set)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Australia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United States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United Kingdom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Engagement Signals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32"/>
        <w:gridCol w:w="3013"/>
      </w:tblGrid>
      <w:tr>
        <w:tc>
          <w:tcPr>
            <w:tcW w:type="dxa" w:w="703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Event</w:t>
            </w:r>
          </w:p>
        </w:tc>
        <w:tc>
          <w:tcPr>
            <w:tcW w:type="dxa" w:w="301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Count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scroll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118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click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42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All Pages</w:t>
      </w:r>
    </w:p>
    <w:tbl>
      <w:tblPr>
        <w:tblW w:type="dxa" w:w="1004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19"/>
        <w:gridCol w:w="1506"/>
        <w:gridCol w:w="2009"/>
        <w:gridCol w:w="2310"/>
      </w:tblGrid>
      <w:tr>
        <w:tc>
          <w:tcPr>
            <w:tcW w:type="dxa" w:w="4219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Page Path</w:t>
            </w:r>
          </w:p>
        </w:tc>
        <w:tc>
          <w:tcPr>
            <w:tcW w:type="dxa" w:w="1506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Views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Bounce Rate</w:t>
            </w:r>
          </w:p>
        </w:tc>
        <w:tc>
          <w:tcPr>
            <w:tcW w:type="dxa" w:w="2310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Avg Duration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43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8.6%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176.2s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61.6%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101.2s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/restaurant-ai-visibility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14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53.8%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642.9s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/blog/chatgpt-vs-grok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45.8%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/privacypolicy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12.5%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5.4s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/blog/why-geo-is-the-future-of-ai-search-in-2026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71.4%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/termsofuse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/blog/how-enterprises-are-transitioning-from-seo-to-geo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343.3s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/blog/complete-guide-to-chatgpt-rank-tracking-tools-in-2026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94.2s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/blog/how-can-brands-polish-their-geo-playbook-to-win-holiday-search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89.1s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/blog/how-to-rank-your-website-or-brand-in-chatgpt-latest-strategy-guide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574.9s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/blog/ai-overviews-impact-on-traffic-and-rankings-what-to-do-in-2026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/blog/best-chatgpt-seo-agency-and-services-for-ai-search-ranking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0.2s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/blog/how-to-rank-in-ai-overview-understand-the-seo-vs-geo-vs-aeo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66.7%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6.8s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/blog/how-to-swiftly-rank-on-perplexity-ai-key-geo-and-seo-tips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/ga4/oauth/callback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649s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860" w:bottom="1134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D5CB" w:sz="4"/>
      </w:pBdr>
      <w:spacing w:before="80"/>
      <w:jc w:val="center"/>
    </w:pP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B7280"/>
        <w:sz w:val="16"/>
        <w:szCs w:val="16"/>
      </w:rPr>
      <w:t xml:space="preserve">March 26, 2026 at 20:35  |  Page </w:t>
    </w:r>
    <w:r>
      <w:rPr>
        <w:rFonts w:ascii="Source Sans 3" w:cs="Source Sans 3" w:eastAsia="Source Sans 3" w:hAnsi="Source Sans 3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B7280"/>
        <w:sz w:val="16"/>
        <w:szCs w:val="16"/>
      </w:rPr>
      <w:t xml:space="preserve"> of </w:t>
    </w:r>
    <w:r>
      <w:rPr>
        <w:rFonts w:ascii="Source Sans 3" w:cs="Source Sans 3" w:eastAsia="Source Sans 3" w:hAnsi="Source Sans 3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D5CB" w:sz="4"/>
      </w:pBdr>
      <w:spacing w:after="80"/>
    </w:pP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B7280"/>
        <w:sz w:val="16"/>
        <w:szCs w:val="16"/>
      </w:rPr>
      <w:t xml:space="preserve">GEO Intelligence Report</w:t>
    </w: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E8D5CB"/>
        <w:sz w:val="16"/>
        <w:szCs w:val="16"/>
      </w:rPr>
      <w:t xml:space="preserve">  |  </w:t>
    </w: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E4C40"/>
        <w:sz w:val="16"/>
        <w:szCs w:val="16"/>
      </w:rPr>
      <w:t xml:space="preserve">notionx website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2026-03-26T21:22:10.603Z</dcterms:created>
  <dcterms:modified xsi:type="dcterms:W3CDTF">2026-03-26T21:22:10.604Z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